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313116</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Toulouse</w:t>
      </w:r>
      <w:r>
        <w:rPr>
          <w:rFonts w:ascii="Arial" w:hAnsi="Arial" w:eastAsia="宋体"/>
          <w:b/>
          <w:color w:val="auto"/>
          <w:sz w:val="24"/>
          <w:lang w:eastAsia="zh-CN"/>
        </w:rPr>
        <w:t>,</w:t>
      </w:r>
      <w:r>
        <w:rPr>
          <w:rFonts w:hint="eastAsia" w:ascii="Arial" w:hAnsi="Arial" w:eastAsia="宋体"/>
          <w:b/>
          <w:color w:val="auto"/>
          <w:sz w:val="24"/>
          <w:lang w:val="en-US" w:eastAsia="zh-CN"/>
        </w:rPr>
        <w:t xml:space="preserve"> France,</w:t>
      </w:r>
      <w:r>
        <w:rPr>
          <w:rFonts w:ascii="Arial" w:hAnsi="Arial" w:eastAsia="宋体"/>
          <w:b/>
          <w:color w:val="auto"/>
          <w:sz w:val="24"/>
          <w:lang w:eastAsia="zh-CN"/>
        </w:rPr>
        <w:t xml:space="preserve"> </w:t>
      </w:r>
      <w:r>
        <w:rPr>
          <w:rFonts w:hint="eastAsia" w:ascii="Arial" w:hAnsi="Arial" w:eastAsia="宋体"/>
          <w:b/>
          <w:color w:val="auto"/>
          <w:sz w:val="24"/>
          <w:lang w:val="en-US" w:eastAsia="zh-CN"/>
        </w:rPr>
        <w:t>21</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25</w:t>
      </w:r>
      <w:r>
        <w:rPr>
          <w:rFonts w:ascii="Arial" w:hAnsi="Arial" w:cs="Arial"/>
          <w:b/>
          <w:bCs/>
          <w:sz w:val="24"/>
          <w:szCs w:val="24"/>
        </w:rPr>
        <w:t xml:space="preserve"> </w:t>
      </w:r>
      <w:r>
        <w:rPr>
          <w:rFonts w:hint="eastAsia" w:ascii="Arial" w:hAnsi="Arial" w:eastAsia="宋体" w:cs="Arial"/>
          <w:b/>
          <w:bCs/>
          <w:sz w:val="24"/>
          <w:szCs w:val="24"/>
          <w:lang w:val="en-US" w:eastAsia="zh-CN"/>
        </w:rPr>
        <w:t>Aug</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Receive timing difference between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8.7.3.6</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recent RAN plenary 100 meeting, a revised WID[1] for Rel-18 was approved </w:t>
      </w:r>
      <w:r>
        <w:rPr>
          <w:rFonts w:hint="eastAsia"/>
          <w:lang w:val="en-US" w:eastAsia="zh-CN"/>
        </w:rPr>
        <w:t xml:space="preserve">to further clarify the scope of the </w:t>
      </w:r>
      <w:r>
        <w:rPr>
          <w:lang w:val="en-US"/>
        </w:rPr>
        <w:t xml:space="preserve"> simultaneous DL reception fro</w:t>
      </w:r>
      <w:bookmarkStart w:id="1" w:name="_GoBack"/>
      <w:bookmarkEnd w:id="1"/>
      <w:r>
        <w:rPr>
          <w:lang w:val="en-US"/>
        </w:rPr>
        <w:t>m different directions with different QCL TypeD RSs on a single component carrier</w:t>
      </w:r>
      <w:r>
        <w:rPr>
          <w:rFonts w:hint="eastAsia" w:eastAsia="宋体"/>
          <w:lang w:val="en-US" w:eastAsia="zh-CN"/>
        </w:rPr>
        <w:t>. The main update is to remove the NOTEs related with L3 measurement delay. The objective in the revised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spacing w:after="0"/>
              <w:rPr>
                <w:lang w:val="en-US"/>
              </w:rPr>
            </w:pPr>
            <w:r>
              <w:rPr>
                <w:lang w:val="en-US"/>
              </w:rPr>
              <w:t>Introduce necessary requirement(s) for enhanced FR2-1 UEs with simultaneous DL reception with two different QCL TypeD RSs on single component carrier with up to 4 layer DL MIMO</w:t>
            </w:r>
          </w:p>
          <w:p>
            <w:pPr>
              <w:numPr>
                <w:ilvl w:val="1"/>
                <w:numId w:val="5"/>
              </w:numPr>
              <w:spacing w:after="0"/>
              <w:rPr>
                <w:lang w:val="en-US"/>
              </w:rPr>
            </w:pPr>
            <w:r>
              <w:rPr>
                <w:rFonts w:hint="eastAsia"/>
                <w:lang w:val="en-US"/>
              </w:rPr>
              <w:t>Enhanced RF requirements:</w:t>
            </w:r>
          </w:p>
          <w:p>
            <w:pPr>
              <w:numPr>
                <w:ilvl w:val="2"/>
                <w:numId w:val="5"/>
              </w:numPr>
              <w:spacing w:after="0"/>
              <w:rPr>
                <w:lang w:val="en-US"/>
              </w:rPr>
            </w:pPr>
            <w:r>
              <w:rPr>
                <w:lang w:val="en-US"/>
              </w:rPr>
              <w:t>Specify RF requirements, mainly spherical coverage requirements, for devices with simultaneous reception from different directions with different QCL TypeD RSs</w:t>
            </w:r>
            <w:bookmarkStart w:id="0" w:name="_Hlk104922953"/>
          </w:p>
          <w:bookmarkEnd w:id="0"/>
          <w:p>
            <w:pPr>
              <w:numPr>
                <w:ilvl w:val="2"/>
                <w:numId w:val="5"/>
              </w:numPr>
              <w:spacing w:after="0"/>
              <w:rPr>
                <w:lang w:val="en-US"/>
              </w:rPr>
            </w:pPr>
            <w:r>
              <w:rPr>
                <w:lang w:val="en-US"/>
              </w:rPr>
              <w:t>The legacy spherical coverage requirement for reception from a single direction will be kept</w:t>
            </w:r>
          </w:p>
          <w:p>
            <w:pPr>
              <w:numPr>
                <w:ilvl w:val="2"/>
                <w:numId w:val="5"/>
              </w:numPr>
              <w:spacing w:after="0"/>
              <w:rPr>
                <w:lang w:val="en-US"/>
              </w:rPr>
            </w:pPr>
            <w:r>
              <w:rPr>
                <w:lang w:val="en-US"/>
              </w:rPr>
              <w:t>PC3 will be prioritized, other power classes should be considered after the PC3 requirements framework is finalized</w:t>
            </w:r>
          </w:p>
          <w:p>
            <w:pPr>
              <w:numPr>
                <w:ilvl w:val="0"/>
                <w:numId w:val="5"/>
              </w:numPr>
              <w:spacing w:after="0"/>
              <w:rPr>
                <w:lang w:val="en-US"/>
              </w:rPr>
            </w:pPr>
            <w:r>
              <w:rPr>
                <w:lang w:val="en-US"/>
              </w:rPr>
              <w:t>Introduce necessary requirement(s) for enhanced FR2-1 UEs with simultaneous DL reception from different directions with different QCL TypeD RSs on a single component carrier</w:t>
            </w:r>
          </w:p>
          <w:p>
            <w:pPr>
              <w:numPr>
                <w:ilvl w:val="1"/>
                <w:numId w:val="5"/>
              </w:numPr>
              <w:spacing w:after="0"/>
              <w:rPr>
                <w:lang w:val="en-US"/>
              </w:rPr>
            </w:pPr>
            <w:r>
              <w:rPr>
                <w:rFonts w:hint="eastAsia"/>
                <w:lang w:val="en-US"/>
              </w:rPr>
              <w:t>Enhanced R</w:t>
            </w:r>
            <w:r>
              <w:rPr>
                <w:lang w:val="en-US"/>
              </w:rPr>
              <w:t>RM</w:t>
            </w:r>
            <w:r>
              <w:rPr>
                <w:rFonts w:hint="eastAsia"/>
                <w:lang w:val="en-US"/>
              </w:rPr>
              <w:t xml:space="preserve"> requirements:</w:t>
            </w:r>
          </w:p>
          <w:p>
            <w:pPr>
              <w:numPr>
                <w:ilvl w:val="2"/>
                <w:numId w:val="5"/>
              </w:numPr>
              <w:spacing w:after="0"/>
              <w:rPr>
                <w:lang w:val="en-US"/>
              </w:rPr>
            </w:pPr>
            <w:r>
              <w:rPr>
                <w:rFonts w:hint="eastAsia"/>
                <w:lang w:val="en-US" w:eastAsia="ja-JP"/>
              </w:rPr>
              <w:t>T</w:t>
            </w:r>
            <w:r>
              <w:rPr>
                <w:lang w:val="en-US" w:eastAsia="ja-JP"/>
              </w:rPr>
              <w:t>he following requirements should be studied and specified if necessary:</w:t>
            </w:r>
          </w:p>
          <w:p>
            <w:pPr>
              <w:numPr>
                <w:ilvl w:val="3"/>
                <w:numId w:val="5"/>
              </w:numPr>
              <w:spacing w:after="0"/>
              <w:rPr>
                <w:lang w:val="en-US"/>
              </w:rPr>
            </w:pPr>
            <w:r>
              <w:rPr>
                <w:lang w:val="en-US"/>
              </w:rPr>
              <w:t>L1-RSRP measurement delay</w:t>
            </w:r>
          </w:p>
          <w:p>
            <w:pPr>
              <w:numPr>
                <w:ilvl w:val="3"/>
                <w:numId w:val="5"/>
              </w:numPr>
              <w:spacing w:after="0"/>
              <w:rPr>
                <w:lang w:val="en-US"/>
              </w:rPr>
            </w:pPr>
            <w:r>
              <w:rPr>
                <w:lang w:val="en-US"/>
              </w:rPr>
              <w:t>RLM and BFD/CBD requirements</w:t>
            </w:r>
          </w:p>
          <w:p>
            <w:pPr>
              <w:numPr>
                <w:ilvl w:val="3"/>
                <w:numId w:val="5"/>
              </w:numPr>
              <w:spacing w:after="0"/>
              <w:rPr>
                <w:lang w:val="en-US"/>
              </w:rPr>
            </w:pPr>
            <w:r>
              <w:rPr>
                <w:lang w:val="en-US"/>
              </w:rPr>
              <w:t>Scheduling/measurement restrictions</w:t>
            </w:r>
          </w:p>
          <w:p>
            <w:pPr>
              <w:numPr>
                <w:ilvl w:val="3"/>
                <w:numId w:val="5"/>
              </w:numPr>
              <w:spacing w:after="0"/>
              <w:rPr>
                <w:lang w:val="en-US"/>
              </w:rPr>
            </w:pPr>
            <w:r>
              <w:rPr>
                <w:lang w:val="en-US"/>
              </w:rPr>
              <w:t>TCI state switching delay with dual TCI</w:t>
            </w:r>
          </w:p>
          <w:p>
            <w:pPr>
              <w:numPr>
                <w:ilvl w:val="3"/>
                <w:numId w:val="5"/>
              </w:numPr>
              <w:spacing w:after="0"/>
              <w:rPr>
                <w:bCs/>
              </w:rPr>
            </w:pPr>
            <w:r>
              <w:rPr>
                <w:lang w:val="en-US"/>
              </w:rPr>
              <w:t>Receive timing difference between different directions (different QCL Type D RSs)</w:t>
            </w:r>
          </w:p>
          <w:p>
            <w:pPr>
              <w:spacing w:after="0"/>
              <w:rPr>
                <w:bCs/>
                <w:lang w:eastAsia="ja-JP"/>
              </w:rPr>
            </w:pPr>
            <w:r>
              <w:rPr>
                <w:rFonts w:hint="eastAsia"/>
                <w:bCs/>
                <w:lang w:eastAsia="ja-JP"/>
              </w:rPr>
              <w:t>N</w:t>
            </w:r>
            <w:r>
              <w:rPr>
                <w:bCs/>
                <w:lang w:eastAsia="ja-JP"/>
              </w:rPr>
              <w:t>OTEs:</w:t>
            </w:r>
          </w:p>
          <w:p>
            <w:pPr>
              <w:numPr>
                <w:ilvl w:val="1"/>
                <w:numId w:val="5"/>
              </w:numPr>
              <w:spacing w:after="0"/>
              <w:rPr>
                <w:rFonts w:hint="eastAsia" w:eastAsia="宋体"/>
                <w:vertAlign w:val="baseline"/>
                <w:lang w:val="en-US" w:eastAsia="zh-CN"/>
              </w:rPr>
            </w:pPr>
            <w:r>
              <w:rPr>
                <w:rFonts w:hint="eastAsia"/>
                <w:lang w:val="en-US"/>
              </w:rPr>
              <w:t>T</w:t>
            </w:r>
            <w:r>
              <w:rPr>
                <w:lang w:val="en-US"/>
              </w:rPr>
              <w:t>he case of single TCI is handled as a second priority. Additional aspects related to single TCI can be further revisited.</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RAN4 106 meeting, RAN4 has discussed the MRTD issue for multi-panel/multi-beam reception. The following agreements were achieved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7"/>
              <w:numPr>
                <w:ilvl w:val="0"/>
                <w:numId w:val="6"/>
              </w:numPr>
              <w:overflowPunct w:val="0"/>
              <w:autoSpaceDE w:val="0"/>
              <w:autoSpaceDN w:val="0"/>
              <w:adjustRightInd w:val="0"/>
              <w:spacing w:after="120" w:line="252" w:lineRule="auto"/>
              <w:ind w:left="644" w:firstLineChars="0"/>
              <w:rPr>
                <w:lang w:eastAsia="ja-JP"/>
              </w:rPr>
            </w:pPr>
            <w:r>
              <w:rPr>
                <w:lang w:eastAsia="ja-JP"/>
              </w:rPr>
              <w:t>Agreements in online session:</w:t>
            </w:r>
          </w:p>
          <w:p>
            <w:pPr>
              <w:pStyle w:val="27"/>
              <w:numPr>
                <w:ilvl w:val="1"/>
                <w:numId w:val="6"/>
              </w:numPr>
              <w:overflowPunct w:val="0"/>
              <w:autoSpaceDE w:val="0"/>
              <w:autoSpaceDN w:val="0"/>
              <w:adjustRightInd w:val="0"/>
              <w:spacing w:after="120" w:line="252" w:lineRule="auto"/>
              <w:ind w:firstLineChars="0"/>
              <w:rPr>
                <w:lang w:eastAsia="ja-JP"/>
              </w:rPr>
            </w:pPr>
            <w:r>
              <w:rPr>
                <w:rFonts w:eastAsia="游明朝"/>
                <w:iCs/>
              </w:rPr>
              <w:t>Define RRM requirements for MRTD &lt; CP</w:t>
            </w:r>
          </w:p>
          <w:p>
            <w:pPr>
              <w:pStyle w:val="27"/>
              <w:numPr>
                <w:ilvl w:val="1"/>
                <w:numId w:val="6"/>
              </w:numPr>
              <w:overflowPunct w:val="0"/>
              <w:autoSpaceDE w:val="0"/>
              <w:autoSpaceDN w:val="0"/>
              <w:adjustRightInd w:val="0"/>
              <w:spacing w:after="120" w:line="252" w:lineRule="auto"/>
              <w:ind w:firstLineChars="0"/>
              <w:rPr>
                <w:lang w:eastAsia="ja-JP"/>
              </w:rPr>
            </w:pPr>
            <w:r>
              <w:rPr>
                <w:rFonts w:eastAsia="游明朝"/>
                <w:iCs/>
              </w:rPr>
              <w:t>FFS whether to support MRTD &gt; CP and the discussion can take place after RAN4 #107</w:t>
            </w:r>
          </w:p>
          <w:p>
            <w:pPr>
              <w:pStyle w:val="27"/>
              <w:numPr>
                <w:ilvl w:val="1"/>
                <w:numId w:val="6"/>
              </w:numPr>
              <w:overflowPunct w:val="0"/>
              <w:autoSpaceDE w:val="0"/>
              <w:autoSpaceDN w:val="0"/>
              <w:adjustRightInd w:val="0"/>
              <w:spacing w:after="120" w:line="252" w:lineRule="auto"/>
              <w:ind w:firstLineChars="0"/>
              <w:rPr>
                <w:rFonts w:hint="eastAsia" w:eastAsia="宋体"/>
                <w:color w:val="auto"/>
                <w:sz w:val="20"/>
                <w:szCs w:val="20"/>
                <w:vertAlign w:val="baseline"/>
                <w:lang w:val="en-US" w:eastAsia="zh-CN"/>
              </w:rPr>
            </w:pPr>
            <w:r>
              <w:rPr>
                <w:rFonts w:eastAsia="游明朝"/>
                <w:iCs/>
              </w:rPr>
              <w:t>Note: the MRTD above is the maximum receive time difference between the signals coming from two directions on the same carrier</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RAN4 106bis and 107 meeting, no progress achieved on this topic. So in this paper, we provide some further discussion on the remaining issues.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 xml:space="preserve">After the discussion in last meeting, the remaining controversy is whether to support the case of receiving timing difference beyond CP in this WI. In our opinion, which is closely related with the supported scenario. If inter-cell mTRP is decided to be included in this WI, then the possibility of the receiving timing difference larger than CP exists. From the perspective of UE architecture, based on the assumption of independent RF chain and BB for multi-panel case, not applying any restriction on receiving timing difference is feasible.  </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If inter-cell mTRP is decided to be included in this WI, then the possibility of the receiving timing difference larger than CP exists. </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From the perspective of UE architecture, based on the assumption of independent RF chain and BB for multi-panel case, not applying any restriction on receiving timing difference is feasible.</w:t>
      </w:r>
    </w:p>
    <w:p>
      <w:pPr>
        <w:pStyle w:val="8"/>
        <w:numPr>
          <w:ilvl w:val="0"/>
          <w:numId w:val="0"/>
        </w:numPr>
        <w:tabs>
          <w:tab w:val="left" w:pos="226"/>
          <w:tab w:val="left" w:pos="284"/>
          <w:tab w:val="left" w:pos="5103"/>
        </w:tabs>
        <w:snapToGrid w:val="0"/>
        <w:spacing w:before="156" w:beforeLines="50"/>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Further more, considering the determination of receiving timing difference, which includes BS TAE and propagation delay difference. So the total receiving timing difference can be seen as a trade-off between BS TAE and propagation delay difference. If we aim to control the total value within CP and support the inter-cell scenario at the same time, then smaller BS TAE should be guaranteed.</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The total receiving timing difference can be seen as a trade-off between BS TAE and propagation delay difference. So as to control the total value, then smaller BS TAE should be guaranteed if not restrict the deployment of inter-cell scenario.</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around the receiving time difference between multiple panels for simultaneous DL reception from different directions</w:t>
      </w:r>
      <w:r>
        <w:rPr>
          <w:rFonts w:eastAsia="宋体"/>
          <w:bCs/>
          <w:color w:val="auto"/>
          <w:sz w:val="20"/>
          <w:szCs w:val="20"/>
          <w:lang w:val="en-GB" w:eastAsia="zh-CN"/>
        </w:rPr>
        <w:t>:</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If inter-cell mTRP is decided to be included in this WI, then the possibility of the receiving timing difference larger than CP exists. </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From the perspective of UE architecture, based on the assumption of independent RF chain and BB for multi-panel case, not applying any restriction on receiving timing difference is feasible.</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The total receiving timing difference can be seen as a trade-off between BS TAE and propagation delay difference. So as to control the total value, then smaller BS TAE should be guaranteed if not restrict the deployment of inter-cell scenario.</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Chars="0"/>
        <w:rPr>
          <w:rFonts w:hint="eastAsia"/>
          <w:color w:val="auto"/>
          <w:highlight w:val="none"/>
          <w:lang w:val="en-US" w:eastAsia="zh-CN"/>
        </w:rPr>
      </w:pPr>
      <w:r>
        <w:rPr>
          <w:rFonts w:hint="eastAsia"/>
          <w:lang w:val="en-US" w:eastAsia="zh-CN"/>
        </w:rPr>
        <w:t>RP-22</w:t>
      </w:r>
      <w:r>
        <w:rPr>
          <w:rFonts w:hint="eastAsia"/>
          <w:highlight w:val="none"/>
          <w:lang w:val="en-US" w:eastAsia="zh-CN"/>
        </w:rPr>
        <w:t>3527</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Requirement for NR frequency range 2 (FR2) multi-Rx chain DL reception</w:t>
      </w:r>
      <w:r>
        <w:rPr>
          <w:rFonts w:hint="default"/>
          <w:color w:val="auto"/>
          <w:highlight w:val="none"/>
          <w:lang w:val="en-US" w:eastAsia="zh-CN"/>
        </w:rPr>
        <w:t>”</w:t>
      </w:r>
      <w:r>
        <w:rPr>
          <w:rFonts w:hint="eastAsia"/>
          <w:color w:val="auto"/>
          <w:highlight w:val="none"/>
          <w:lang w:val="en-US" w:eastAsia="zh-CN"/>
        </w:rPr>
        <w:t>, Qualcomm Incorporated.</w:t>
      </w:r>
    </w:p>
    <w:p>
      <w:pPr>
        <w:pStyle w:val="9"/>
        <w:numPr>
          <w:ilvl w:val="0"/>
          <w:numId w:val="7"/>
        </w:numPr>
        <w:ind w:leftChars="0"/>
        <w:rPr>
          <w:rFonts w:hint="eastAsia"/>
          <w:color w:val="auto"/>
          <w:highlight w:val="none"/>
          <w:lang w:val="en-US" w:eastAsia="zh-CN"/>
        </w:rPr>
      </w:pPr>
      <w:r>
        <w:rPr>
          <w:rFonts w:hint="eastAsia"/>
          <w:color w:val="auto"/>
          <w:highlight w:val="none"/>
          <w:lang w:val="en-US" w:eastAsia="zh-CN"/>
        </w:rPr>
        <w:t xml:space="preserve">R4-2303317 </w:t>
      </w:r>
      <w:r>
        <w:rPr>
          <w:rFonts w:hint="default"/>
          <w:color w:val="auto"/>
          <w:highlight w:val="none"/>
          <w:lang w:val="en-US" w:eastAsia="zh-CN"/>
        </w:rPr>
        <w:t>“WF on NR FR2 multi-Rx chain DL reception RRM requirements (part 2)”</w:t>
      </w:r>
      <w:r>
        <w:rPr>
          <w:rFonts w:hint="eastAsia"/>
          <w:color w:val="auto"/>
          <w:highlight w:val="none"/>
          <w:lang w:val="en-US" w:eastAsia="zh-CN"/>
        </w:rPr>
        <w:t>, Qualcomm Incorporated.</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游明朝">
    <w:altName w:val="MS PMincho"/>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E5EB3A"/>
    <w:multiLevelType w:val="singleLevel"/>
    <w:tmpl w:val="A8E5EB3A"/>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3">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7"/>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5">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3"/>
  </w:num>
  <w:num w:numId="3">
    <w:abstractNumId w:val="4"/>
  </w:num>
  <w:num w:numId="4">
    <w:abstractNumId w:val="1"/>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122247"/>
    <w:rsid w:val="022C3A09"/>
    <w:rsid w:val="028B6A1D"/>
    <w:rsid w:val="028F1C3E"/>
    <w:rsid w:val="02D41339"/>
    <w:rsid w:val="037D0CB3"/>
    <w:rsid w:val="03D4720A"/>
    <w:rsid w:val="03E04DEA"/>
    <w:rsid w:val="04654053"/>
    <w:rsid w:val="04793516"/>
    <w:rsid w:val="047A3CFF"/>
    <w:rsid w:val="04885243"/>
    <w:rsid w:val="04A614F6"/>
    <w:rsid w:val="05317828"/>
    <w:rsid w:val="05477E90"/>
    <w:rsid w:val="05BB5AB9"/>
    <w:rsid w:val="05C42923"/>
    <w:rsid w:val="05F562DB"/>
    <w:rsid w:val="06963BA6"/>
    <w:rsid w:val="06965F3C"/>
    <w:rsid w:val="071C31BC"/>
    <w:rsid w:val="07CD3CDD"/>
    <w:rsid w:val="084B363C"/>
    <w:rsid w:val="0855671D"/>
    <w:rsid w:val="089009EB"/>
    <w:rsid w:val="09395C1E"/>
    <w:rsid w:val="09716BCA"/>
    <w:rsid w:val="098C1CEA"/>
    <w:rsid w:val="09D64B23"/>
    <w:rsid w:val="09E644B8"/>
    <w:rsid w:val="0B12013A"/>
    <w:rsid w:val="0B1C5C6A"/>
    <w:rsid w:val="0B243EFB"/>
    <w:rsid w:val="0B3D3C2F"/>
    <w:rsid w:val="0B5D15B4"/>
    <w:rsid w:val="0BAC06FA"/>
    <w:rsid w:val="0BB0429A"/>
    <w:rsid w:val="0BFF5FC6"/>
    <w:rsid w:val="0C276675"/>
    <w:rsid w:val="0C394019"/>
    <w:rsid w:val="0C443848"/>
    <w:rsid w:val="0CBB2438"/>
    <w:rsid w:val="0CCE34AB"/>
    <w:rsid w:val="0D9D7015"/>
    <w:rsid w:val="0EC91588"/>
    <w:rsid w:val="0F12673C"/>
    <w:rsid w:val="0F8009F9"/>
    <w:rsid w:val="103765F0"/>
    <w:rsid w:val="10997F43"/>
    <w:rsid w:val="10DE7BAE"/>
    <w:rsid w:val="11023BFD"/>
    <w:rsid w:val="110404BB"/>
    <w:rsid w:val="111C20F6"/>
    <w:rsid w:val="11ED345F"/>
    <w:rsid w:val="120774A3"/>
    <w:rsid w:val="12580C13"/>
    <w:rsid w:val="136E2316"/>
    <w:rsid w:val="13A463A1"/>
    <w:rsid w:val="14006D19"/>
    <w:rsid w:val="1414436B"/>
    <w:rsid w:val="1481754F"/>
    <w:rsid w:val="148F5721"/>
    <w:rsid w:val="14AC57CD"/>
    <w:rsid w:val="15ED3E9B"/>
    <w:rsid w:val="15FE3185"/>
    <w:rsid w:val="164514BE"/>
    <w:rsid w:val="166C7059"/>
    <w:rsid w:val="170F06AA"/>
    <w:rsid w:val="17225508"/>
    <w:rsid w:val="180A6E32"/>
    <w:rsid w:val="183F2CD2"/>
    <w:rsid w:val="1856323E"/>
    <w:rsid w:val="18AF55E3"/>
    <w:rsid w:val="18B1519A"/>
    <w:rsid w:val="18CD0507"/>
    <w:rsid w:val="195D7D48"/>
    <w:rsid w:val="19852D03"/>
    <w:rsid w:val="1A6F1A83"/>
    <w:rsid w:val="1AD01A1B"/>
    <w:rsid w:val="1B61065A"/>
    <w:rsid w:val="1B6C3593"/>
    <w:rsid w:val="1BBF3927"/>
    <w:rsid w:val="1C177B08"/>
    <w:rsid w:val="1C9001C6"/>
    <w:rsid w:val="1CBA2101"/>
    <w:rsid w:val="1D0573D7"/>
    <w:rsid w:val="1D153DC4"/>
    <w:rsid w:val="1D223E0B"/>
    <w:rsid w:val="1D3A54CD"/>
    <w:rsid w:val="1DF33EB1"/>
    <w:rsid w:val="1E132F88"/>
    <w:rsid w:val="1E2867E9"/>
    <w:rsid w:val="1E853F6F"/>
    <w:rsid w:val="1E9C7BCC"/>
    <w:rsid w:val="1ECC1E3C"/>
    <w:rsid w:val="1EE42F33"/>
    <w:rsid w:val="1FFD4083"/>
    <w:rsid w:val="202F3D4C"/>
    <w:rsid w:val="21014C39"/>
    <w:rsid w:val="21045DF0"/>
    <w:rsid w:val="21244EB1"/>
    <w:rsid w:val="213964D8"/>
    <w:rsid w:val="21595D04"/>
    <w:rsid w:val="21835807"/>
    <w:rsid w:val="21F13629"/>
    <w:rsid w:val="22957446"/>
    <w:rsid w:val="2305377E"/>
    <w:rsid w:val="231A76D5"/>
    <w:rsid w:val="24122135"/>
    <w:rsid w:val="24D4257E"/>
    <w:rsid w:val="24F5519F"/>
    <w:rsid w:val="2572202B"/>
    <w:rsid w:val="25D109CB"/>
    <w:rsid w:val="2605683C"/>
    <w:rsid w:val="26661176"/>
    <w:rsid w:val="26BB1419"/>
    <w:rsid w:val="27315D1D"/>
    <w:rsid w:val="27B748AA"/>
    <w:rsid w:val="27CB4CB9"/>
    <w:rsid w:val="27D5723B"/>
    <w:rsid w:val="281C2F58"/>
    <w:rsid w:val="292D5BF2"/>
    <w:rsid w:val="292F6239"/>
    <w:rsid w:val="29642C4B"/>
    <w:rsid w:val="29A66B9A"/>
    <w:rsid w:val="2A34628C"/>
    <w:rsid w:val="2A724D05"/>
    <w:rsid w:val="2A7E505C"/>
    <w:rsid w:val="2AAD7E69"/>
    <w:rsid w:val="2AC85686"/>
    <w:rsid w:val="2AD04B5F"/>
    <w:rsid w:val="2B39549B"/>
    <w:rsid w:val="2BC05B2C"/>
    <w:rsid w:val="2BD617C5"/>
    <w:rsid w:val="2C112837"/>
    <w:rsid w:val="2C317003"/>
    <w:rsid w:val="2C360608"/>
    <w:rsid w:val="2C5F5AF2"/>
    <w:rsid w:val="2D127B6F"/>
    <w:rsid w:val="2E014790"/>
    <w:rsid w:val="2EE77680"/>
    <w:rsid w:val="2F2F0FC8"/>
    <w:rsid w:val="2FAD5279"/>
    <w:rsid w:val="2FC61013"/>
    <w:rsid w:val="301C6BB6"/>
    <w:rsid w:val="30723652"/>
    <w:rsid w:val="30766FB2"/>
    <w:rsid w:val="319708F2"/>
    <w:rsid w:val="31B14C9E"/>
    <w:rsid w:val="31FE2981"/>
    <w:rsid w:val="33C522D7"/>
    <w:rsid w:val="33F228A5"/>
    <w:rsid w:val="34807672"/>
    <w:rsid w:val="34D80B99"/>
    <w:rsid w:val="351B1E30"/>
    <w:rsid w:val="358E5935"/>
    <w:rsid w:val="35B06C6A"/>
    <w:rsid w:val="36941AA2"/>
    <w:rsid w:val="36D37423"/>
    <w:rsid w:val="379D23F9"/>
    <w:rsid w:val="37E74183"/>
    <w:rsid w:val="3A054591"/>
    <w:rsid w:val="3A185287"/>
    <w:rsid w:val="3A1F46B8"/>
    <w:rsid w:val="3A692CD0"/>
    <w:rsid w:val="3AE162E7"/>
    <w:rsid w:val="3B270929"/>
    <w:rsid w:val="3B3D5571"/>
    <w:rsid w:val="3B5D276F"/>
    <w:rsid w:val="3B673620"/>
    <w:rsid w:val="3B9A1F29"/>
    <w:rsid w:val="3C2A4F22"/>
    <w:rsid w:val="3CE4646B"/>
    <w:rsid w:val="3D5E7AA8"/>
    <w:rsid w:val="3D6F2596"/>
    <w:rsid w:val="3F7F3061"/>
    <w:rsid w:val="3F975218"/>
    <w:rsid w:val="405F175E"/>
    <w:rsid w:val="40C765F3"/>
    <w:rsid w:val="41C755BE"/>
    <w:rsid w:val="4219614A"/>
    <w:rsid w:val="428104DA"/>
    <w:rsid w:val="42F869D2"/>
    <w:rsid w:val="43553536"/>
    <w:rsid w:val="44972678"/>
    <w:rsid w:val="451632B9"/>
    <w:rsid w:val="45906394"/>
    <w:rsid w:val="45F60A50"/>
    <w:rsid w:val="46142D0C"/>
    <w:rsid w:val="46970A81"/>
    <w:rsid w:val="46B036BF"/>
    <w:rsid w:val="47282363"/>
    <w:rsid w:val="476B3528"/>
    <w:rsid w:val="47C726B0"/>
    <w:rsid w:val="49087C07"/>
    <w:rsid w:val="49DC4EAC"/>
    <w:rsid w:val="49E55BC5"/>
    <w:rsid w:val="4A5B6F05"/>
    <w:rsid w:val="4C1C63D6"/>
    <w:rsid w:val="4C864A35"/>
    <w:rsid w:val="4E015C76"/>
    <w:rsid w:val="4E310026"/>
    <w:rsid w:val="4E4A2325"/>
    <w:rsid w:val="4E702749"/>
    <w:rsid w:val="4EC85323"/>
    <w:rsid w:val="4EDB3464"/>
    <w:rsid w:val="501A6C55"/>
    <w:rsid w:val="51234069"/>
    <w:rsid w:val="51B14BED"/>
    <w:rsid w:val="52526454"/>
    <w:rsid w:val="525C1CEF"/>
    <w:rsid w:val="528B5767"/>
    <w:rsid w:val="52A77D4F"/>
    <w:rsid w:val="52D33625"/>
    <w:rsid w:val="52FD1C01"/>
    <w:rsid w:val="52FD33B4"/>
    <w:rsid w:val="5372021A"/>
    <w:rsid w:val="53A3105E"/>
    <w:rsid w:val="53C64B93"/>
    <w:rsid w:val="540D5091"/>
    <w:rsid w:val="548A6C60"/>
    <w:rsid w:val="54E07F19"/>
    <w:rsid w:val="55B1164D"/>
    <w:rsid w:val="55B4735E"/>
    <w:rsid w:val="55BB221D"/>
    <w:rsid w:val="56371459"/>
    <w:rsid w:val="56484633"/>
    <w:rsid w:val="58D0053D"/>
    <w:rsid w:val="59064002"/>
    <w:rsid w:val="598C40A0"/>
    <w:rsid w:val="59DA647E"/>
    <w:rsid w:val="5A556E1A"/>
    <w:rsid w:val="5C1166E3"/>
    <w:rsid w:val="5E2864D0"/>
    <w:rsid w:val="5E494511"/>
    <w:rsid w:val="5EB44FC0"/>
    <w:rsid w:val="5EB81F13"/>
    <w:rsid w:val="5EDA64BC"/>
    <w:rsid w:val="5FBA395F"/>
    <w:rsid w:val="60B92183"/>
    <w:rsid w:val="60EC2CBA"/>
    <w:rsid w:val="61CC2D28"/>
    <w:rsid w:val="630C63B9"/>
    <w:rsid w:val="635902CD"/>
    <w:rsid w:val="642A3E76"/>
    <w:rsid w:val="645E1DDB"/>
    <w:rsid w:val="64706BBE"/>
    <w:rsid w:val="64F2095B"/>
    <w:rsid w:val="65267327"/>
    <w:rsid w:val="65D63F94"/>
    <w:rsid w:val="66296AB8"/>
    <w:rsid w:val="66A92706"/>
    <w:rsid w:val="67A858DB"/>
    <w:rsid w:val="67FE4166"/>
    <w:rsid w:val="687E1815"/>
    <w:rsid w:val="68AD2162"/>
    <w:rsid w:val="68C401C3"/>
    <w:rsid w:val="69045D7F"/>
    <w:rsid w:val="693027BF"/>
    <w:rsid w:val="6968769B"/>
    <w:rsid w:val="69831B57"/>
    <w:rsid w:val="69A833BD"/>
    <w:rsid w:val="6A5D78D5"/>
    <w:rsid w:val="6A85354A"/>
    <w:rsid w:val="6C8E0C06"/>
    <w:rsid w:val="6D566F0F"/>
    <w:rsid w:val="6D836F72"/>
    <w:rsid w:val="6DDE3DAF"/>
    <w:rsid w:val="6E2C7D5B"/>
    <w:rsid w:val="6E3241BE"/>
    <w:rsid w:val="6E9D39F0"/>
    <w:rsid w:val="6EB97A9D"/>
    <w:rsid w:val="6EF10A90"/>
    <w:rsid w:val="6FD45BF8"/>
    <w:rsid w:val="6FFF1868"/>
    <w:rsid w:val="71507435"/>
    <w:rsid w:val="715F4C2D"/>
    <w:rsid w:val="71E40FCE"/>
    <w:rsid w:val="722F78FB"/>
    <w:rsid w:val="723D67C5"/>
    <w:rsid w:val="7250627B"/>
    <w:rsid w:val="72BF60CA"/>
    <w:rsid w:val="72F41282"/>
    <w:rsid w:val="733D0D32"/>
    <w:rsid w:val="73D411F1"/>
    <w:rsid w:val="74CF19FA"/>
    <w:rsid w:val="753811DE"/>
    <w:rsid w:val="757733D9"/>
    <w:rsid w:val="75A7114C"/>
    <w:rsid w:val="75BE67D4"/>
    <w:rsid w:val="75C2004C"/>
    <w:rsid w:val="75C759C1"/>
    <w:rsid w:val="760F5DAE"/>
    <w:rsid w:val="762D64F3"/>
    <w:rsid w:val="767E7EFF"/>
    <w:rsid w:val="775B4604"/>
    <w:rsid w:val="77C067C3"/>
    <w:rsid w:val="782F7DC4"/>
    <w:rsid w:val="78911E31"/>
    <w:rsid w:val="7922350F"/>
    <w:rsid w:val="792B5470"/>
    <w:rsid w:val="79C637D8"/>
    <w:rsid w:val="7A9367CB"/>
    <w:rsid w:val="7AF22571"/>
    <w:rsid w:val="7B69224B"/>
    <w:rsid w:val="7BE80F25"/>
    <w:rsid w:val="7BFA7504"/>
    <w:rsid w:val="7C1C35A7"/>
    <w:rsid w:val="7C45431D"/>
    <w:rsid w:val="7D243E1C"/>
    <w:rsid w:val="7D3219D5"/>
    <w:rsid w:val="7DA4544B"/>
    <w:rsid w:val="7DDD0501"/>
    <w:rsid w:val="7DE51372"/>
    <w:rsid w:val="7E5E590F"/>
    <w:rsid w:val="7E935AFB"/>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1"/>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8"/>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5"/>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7">
    <w:name w:val="样式3"/>
    <w:basedOn w:val="27"/>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2023-08-11T13:24:33Z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